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84" w:rsidRDefault="004E7684" w:rsidP="004E7684">
      <w:pPr>
        <w:pStyle w:val="Odstavecseseznamem"/>
        <w:widowControl w:val="0"/>
        <w:suppressAutoHyphens/>
        <w:ind w:left="0"/>
        <w:rPr>
          <w:rFonts w:asciiTheme="minorHAnsi" w:eastAsia="Lucida Sans Unicode" w:hAnsiTheme="minorHAnsi" w:cstheme="minorHAnsi"/>
          <w:b/>
          <w:kern w:val="2"/>
          <w:lang w:eastAsia="ar-SA"/>
        </w:rPr>
      </w:pPr>
      <w:r>
        <w:rPr>
          <w:rFonts w:asciiTheme="minorHAnsi" w:eastAsia="Lucida Sans Unicode" w:hAnsiTheme="minorHAnsi" w:cstheme="minorHAnsi"/>
          <w:b/>
          <w:kern w:val="2"/>
          <w:lang w:eastAsia="ar-SA"/>
        </w:rPr>
        <w:t>Poslání:</w:t>
      </w:r>
    </w:p>
    <w:p w:rsidR="004E7684" w:rsidRDefault="004E7684" w:rsidP="004E7684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lang w:eastAsia="ar-SA"/>
        </w:rPr>
      </w:pPr>
      <w:r>
        <w:rPr>
          <w:rFonts w:asciiTheme="minorHAnsi" w:eastAsia="Lucida Sans Unicode" w:hAnsiTheme="minorHAnsi" w:cstheme="minorHAnsi"/>
          <w:kern w:val="2"/>
          <w:lang w:eastAsia="ar-SA"/>
        </w:rPr>
        <w:t>Posláním pobytové sociální služby Domov pro seniory je poskytnutí nezbytné podpory s ohledem na zajištění důstojnosti a individuálních potřeb klientů. Tyto činnosti směřují k udržení soběstačnosti a předcházení sociálnímu vyloučení.</w:t>
      </w:r>
    </w:p>
    <w:p w:rsidR="004E7684" w:rsidRDefault="004E7684" w:rsidP="004E7684">
      <w:pPr>
        <w:widowControl w:val="0"/>
        <w:suppressAutoHyphens/>
        <w:jc w:val="both"/>
        <w:rPr>
          <w:rFonts w:asciiTheme="minorHAnsi" w:eastAsia="Lucida Sans Unicode" w:hAnsiTheme="minorHAnsi" w:cstheme="minorHAnsi"/>
          <w:color w:val="FF0000"/>
          <w:kern w:val="2"/>
          <w:lang w:eastAsia="ar-SA"/>
        </w:rPr>
      </w:pPr>
    </w:p>
    <w:p w:rsidR="004E7684" w:rsidRDefault="004E7684" w:rsidP="004E7684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lang w:eastAsia="ar-SA"/>
        </w:rPr>
      </w:pPr>
      <w:r>
        <w:rPr>
          <w:rFonts w:asciiTheme="minorHAnsi" w:eastAsia="Lucida Sans Unicode" w:hAnsiTheme="minorHAnsi" w:cstheme="minorHAnsi"/>
          <w:b/>
          <w:kern w:val="2"/>
          <w:lang w:eastAsia="ar-SA"/>
        </w:rPr>
        <w:t>Pro koho je služba určena:</w:t>
      </w:r>
    </w:p>
    <w:p w:rsidR="004E7684" w:rsidRDefault="004E7684" w:rsidP="004E7684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lang w:eastAsia="ar-SA"/>
        </w:rPr>
      </w:pPr>
      <w:r>
        <w:rPr>
          <w:rFonts w:asciiTheme="minorHAnsi" w:eastAsia="Lucida Sans Unicode" w:hAnsiTheme="minorHAnsi" w:cstheme="minorHAnsi"/>
          <w:kern w:val="2"/>
          <w:lang w:eastAsia="ar-SA"/>
        </w:rPr>
        <w:t>Cílovou skupinou jsou osoby ve věku od 55 let trvale žijící na území ČR, které z hlediska zdravotního stavu mají sníženou soběstačnost v základních životních dovednostech, jejichž situace vyžaduje pravidelnou pomoc jiné osoby a není jim toto možné zajistit v jejich přirozeném prostředí za pomoci rodiny nebo jiných sociálních služeb.</w:t>
      </w:r>
    </w:p>
    <w:p w:rsidR="004E7684" w:rsidRDefault="004E7684" w:rsidP="004E7684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lang w:eastAsia="ar-SA"/>
        </w:rPr>
      </w:pPr>
    </w:p>
    <w:p w:rsidR="004E7684" w:rsidRDefault="004E7684" w:rsidP="004E7684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lang w:eastAsia="ar-SA"/>
        </w:rPr>
      </w:pPr>
      <w:r>
        <w:rPr>
          <w:rFonts w:asciiTheme="minorHAnsi" w:eastAsia="Lucida Sans Unicode" w:hAnsiTheme="minorHAnsi" w:cstheme="minorHAnsi"/>
          <w:b/>
          <w:kern w:val="2"/>
          <w:lang w:eastAsia="ar-SA"/>
        </w:rPr>
        <w:t>Pro koho není určena:</w:t>
      </w:r>
    </w:p>
    <w:p w:rsidR="004E7684" w:rsidRDefault="004E7684" w:rsidP="004E7684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lang w:eastAsia="ar-SA"/>
        </w:rPr>
      </w:pPr>
      <w:r>
        <w:rPr>
          <w:rFonts w:asciiTheme="minorHAnsi" w:eastAsia="Lucida Sans Unicode" w:hAnsiTheme="minorHAnsi" w:cstheme="minorHAnsi"/>
          <w:kern w:val="2"/>
          <w:lang w:eastAsia="ar-SA"/>
        </w:rPr>
        <w:t>Sociální službu nelze poskytovat:</w:t>
      </w:r>
    </w:p>
    <w:p w:rsidR="004E7684" w:rsidRDefault="004E7684" w:rsidP="004E7684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Osobám s Alzheimerovou chorobou a jinými typy demence, jejichž stav vyžaduje pobyt v Domově se zvláštním režimem</w:t>
      </w:r>
    </w:p>
    <w:p w:rsidR="004E7684" w:rsidRDefault="004E7684" w:rsidP="004E7684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Osobám trpícím závažnou duševní nemocí  </w:t>
      </w:r>
    </w:p>
    <w:p w:rsidR="004E7684" w:rsidRDefault="004E7684" w:rsidP="004E7684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Osobám trvale závislých na lékařské péči</w:t>
      </w:r>
    </w:p>
    <w:p w:rsidR="004E7684" w:rsidRDefault="004E7684" w:rsidP="004E7684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Osobám se závislostní problematikou (alkohol, drogy)</w:t>
      </w:r>
    </w:p>
    <w:p w:rsidR="004E7684" w:rsidRDefault="004E7684" w:rsidP="004E7684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Osobám s mentálním a kombinovaným postižením</w:t>
      </w:r>
    </w:p>
    <w:p w:rsidR="004E7684" w:rsidRDefault="004E7684" w:rsidP="004E7684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Osobám, s nimiž se nelze na základě komunikační bariéry domluvit (např.: osoby hluchoněmé, hluchoslepé) a osobám s úplnou ztrátou zraku</w:t>
      </w:r>
    </w:p>
    <w:p w:rsidR="004E7684" w:rsidRDefault="004E7684" w:rsidP="004E7684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Osobám, kterým byla vypovězena smlouva o poskytnutí téže sociální služby v době kratší než 6 měsíců z důvodu porušování povinností vyplývajících ze smlouvy</w:t>
      </w:r>
    </w:p>
    <w:p w:rsidR="004E7684" w:rsidRDefault="004E7684" w:rsidP="004E7684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Osobám se závažným neurologickým onemocněním (</w:t>
      </w:r>
      <w:proofErr w:type="spellStart"/>
      <w:r>
        <w:rPr>
          <w:rFonts w:asciiTheme="minorHAnsi" w:eastAsia="Calibri" w:hAnsiTheme="minorHAnsi" w:cstheme="minorHAnsi"/>
          <w:lang w:eastAsia="en-US"/>
        </w:rPr>
        <w:t>huntingtonova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choroba, aj.)</w:t>
      </w:r>
    </w:p>
    <w:p w:rsidR="004E7684" w:rsidRDefault="004E7684" w:rsidP="004E7684">
      <w:pPr>
        <w:widowControl w:val="0"/>
        <w:suppressAutoHyphens/>
        <w:rPr>
          <w:rFonts w:asciiTheme="minorHAnsi" w:eastAsia="Lucida Sans Unicode" w:hAnsiTheme="minorHAnsi" w:cstheme="minorHAnsi"/>
          <w:kern w:val="2"/>
          <w:lang w:eastAsia="ar-SA"/>
        </w:rPr>
      </w:pPr>
    </w:p>
    <w:p w:rsidR="004E7684" w:rsidRDefault="004E7684" w:rsidP="004E7684">
      <w:pPr>
        <w:widowControl w:val="0"/>
        <w:suppressAutoHyphens/>
        <w:rPr>
          <w:rFonts w:asciiTheme="minorHAnsi" w:eastAsia="Lucida Sans Unicode" w:hAnsiTheme="minorHAnsi" w:cstheme="minorHAnsi"/>
          <w:kern w:val="2"/>
          <w:lang w:eastAsia="ar-SA"/>
        </w:rPr>
      </w:pPr>
      <w:r>
        <w:rPr>
          <w:rFonts w:asciiTheme="minorHAnsi" w:eastAsia="Lucida Sans Unicode" w:hAnsiTheme="minorHAnsi" w:cstheme="minorHAnsi"/>
          <w:b/>
          <w:kern w:val="2"/>
          <w:lang w:eastAsia="ar-SA"/>
        </w:rPr>
        <w:t>Zásady</w:t>
      </w:r>
      <w:r>
        <w:rPr>
          <w:rFonts w:asciiTheme="minorHAnsi" w:eastAsia="Lucida Sans Unicode" w:hAnsiTheme="minorHAnsi" w:cstheme="minorHAnsi"/>
          <w:kern w:val="2"/>
          <w:lang w:eastAsia="ar-SA"/>
        </w:rPr>
        <w:t xml:space="preserve"> poskytování sociálních služeb jsou založeny na týmovosti a jednotném přístupu. Při poskytování sociálních služeb vycházíme z těchto principů:</w:t>
      </w:r>
    </w:p>
    <w:p w:rsidR="004E7684" w:rsidRDefault="004E7684" w:rsidP="004E7684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lang w:eastAsia="ar-SA"/>
        </w:rPr>
      </w:pPr>
    </w:p>
    <w:p w:rsidR="004E7684" w:rsidRDefault="004E7684" w:rsidP="004E7684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lang w:eastAsia="ar-SA"/>
        </w:rPr>
      </w:pP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dr w:val="single" w:sz="4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dr w:val="single" w:sz="4" w:space="0" w:color="auto" w:frame="1"/>
          <w:lang w:eastAsia="en-US"/>
        </w:rPr>
        <w:t>D</w:t>
      </w:r>
      <w:r>
        <w:rPr>
          <w:rFonts w:asciiTheme="minorHAnsi" w:eastAsia="Calibri" w:hAnsiTheme="minorHAnsi" w:cstheme="minorHAnsi"/>
          <w:bdr w:val="single" w:sz="4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lang w:eastAsia="en-US"/>
        </w:rPr>
        <w:t xml:space="preserve"> =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lang w:eastAsia="en-US"/>
        </w:rPr>
        <w:t>DŮSTOJNOST</w:t>
      </w:r>
      <w:r>
        <w:rPr>
          <w:rFonts w:asciiTheme="minorHAnsi" w:eastAsia="Calibri" w:hAnsiTheme="minorHAnsi" w:cstheme="minorHAnsi"/>
          <w:lang w:eastAsia="en-US"/>
        </w:rPr>
        <w:t xml:space="preserve"> – chování ke klientům s respektem a úctou</w:t>
      </w:r>
    </w:p>
    <w:p w:rsidR="004E7684" w:rsidRDefault="004E7684" w:rsidP="004E7684">
      <w:pPr>
        <w:widowControl w:val="0"/>
        <w:suppressAutoHyphens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bdr w:val="single" w:sz="4" w:space="0" w:color="auto" w:frame="1"/>
          <w:lang w:eastAsia="en-US"/>
        </w:rPr>
        <w:t xml:space="preserve"> P </w:t>
      </w:r>
      <w:r>
        <w:rPr>
          <w:rFonts w:asciiTheme="minorHAnsi" w:eastAsia="Calibri" w:hAnsiTheme="minorHAnsi" w:cstheme="minorHAnsi"/>
          <w:b/>
          <w:lang w:eastAsia="en-US"/>
        </w:rPr>
        <w:t xml:space="preserve"> = PŘÍSTUP</w:t>
      </w:r>
      <w:r>
        <w:rPr>
          <w:rFonts w:asciiTheme="minorHAnsi" w:eastAsia="Calibri" w:hAnsiTheme="minorHAnsi" w:cstheme="minorHAnsi"/>
          <w:lang w:eastAsia="en-US"/>
        </w:rPr>
        <w:t xml:space="preserve"> – poskytování pomoci v úkonech, které klient nezvládá s cílem udržet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  <w:t xml:space="preserve">     soběstačnost v základních úkonech sebeobsluhy</w:t>
      </w:r>
    </w:p>
    <w:p w:rsidR="004E7684" w:rsidRDefault="004E7684" w:rsidP="004E7684">
      <w:pPr>
        <w:spacing w:after="200" w:line="276" w:lineRule="auto"/>
        <w:ind w:left="284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bdr w:val="single" w:sz="4" w:space="0" w:color="auto" w:frame="1"/>
          <w:lang w:eastAsia="en-US"/>
        </w:rPr>
        <w:t xml:space="preserve"> S </w:t>
      </w:r>
      <w:r>
        <w:rPr>
          <w:rFonts w:asciiTheme="minorHAnsi" w:eastAsia="Calibri" w:hAnsiTheme="minorHAnsi" w:cstheme="minorHAnsi"/>
          <w:b/>
          <w:lang w:eastAsia="en-US"/>
        </w:rPr>
        <w:t xml:space="preserve"> = SPOLUPRÁCE</w:t>
      </w:r>
      <w:r>
        <w:rPr>
          <w:rFonts w:asciiTheme="minorHAnsi" w:eastAsia="Calibri" w:hAnsiTheme="minorHAnsi" w:cstheme="minorHAnsi"/>
          <w:lang w:eastAsia="en-US"/>
        </w:rPr>
        <w:t xml:space="preserve"> – výkon sociální služby ve spolupráci s klientem, jeho blízkými  </w:t>
      </w:r>
    </w:p>
    <w:p w:rsidR="004E7684" w:rsidRDefault="004E7684" w:rsidP="004E7684">
      <w:pPr>
        <w:widowControl w:val="0"/>
        <w:suppressAutoHyphens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                             a dalšími organizacemi</w:t>
      </w:r>
    </w:p>
    <w:p w:rsidR="004E7684" w:rsidRDefault="004E7684" w:rsidP="004E7684">
      <w:pPr>
        <w:spacing w:after="200" w:line="276" w:lineRule="auto"/>
        <w:ind w:left="2136" w:firstLine="696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dr w:val="single" w:sz="4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dr w:val="single" w:sz="4" w:space="0" w:color="auto" w:frame="1"/>
          <w:lang w:eastAsia="en-US"/>
        </w:rPr>
        <w:t xml:space="preserve">P </w:t>
      </w:r>
      <w:r>
        <w:rPr>
          <w:rFonts w:asciiTheme="minorHAnsi" w:eastAsia="Calibri" w:hAnsiTheme="minorHAnsi" w:cstheme="minorHAnsi"/>
          <w:b/>
          <w:lang w:eastAsia="en-US"/>
        </w:rPr>
        <w:t xml:space="preserve"> = PODPORA</w:t>
      </w:r>
      <w:r>
        <w:rPr>
          <w:rFonts w:asciiTheme="minorHAnsi" w:eastAsia="Calibri" w:hAnsiTheme="minorHAnsi" w:cstheme="minorHAnsi"/>
          <w:lang w:eastAsia="en-US"/>
        </w:rPr>
        <w:t xml:space="preserve"> – zachování kontaktu s přirozeným sociálním prostředím</w:t>
      </w:r>
    </w:p>
    <w:p w:rsidR="004E7684" w:rsidRDefault="004E7684" w:rsidP="004E7684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2"/>
          <w:lang w:eastAsia="ar-SA"/>
        </w:rPr>
      </w:pPr>
    </w:p>
    <w:p w:rsidR="004E7684" w:rsidRDefault="004E7684" w:rsidP="004E7684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lang w:eastAsia="ar-SA"/>
        </w:rPr>
      </w:pPr>
      <w:r>
        <w:rPr>
          <w:rFonts w:asciiTheme="minorHAnsi" w:eastAsia="Lucida Sans Unicode" w:hAnsiTheme="minorHAnsi" w:cstheme="minorHAnsi"/>
          <w:b/>
          <w:kern w:val="2"/>
          <w:lang w:eastAsia="ar-SA"/>
        </w:rPr>
        <w:t>Cíle:</w:t>
      </w:r>
    </w:p>
    <w:p w:rsidR="004E7684" w:rsidRDefault="004E7684" w:rsidP="004E7684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Informovanost a odbornost zaměstnanců</w:t>
      </w:r>
    </w:p>
    <w:p w:rsidR="004E7684" w:rsidRDefault="004E7684" w:rsidP="004E7684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Kontinuální zvyšování kvality péče – indikátor kvality péče </w:t>
      </w:r>
    </w:p>
    <w:p w:rsidR="004E7684" w:rsidRDefault="004E7684" w:rsidP="004E7684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Individuální aktivizace podporující zachování fyzických a kognitivních funkcí</w:t>
      </w:r>
    </w:p>
    <w:p w:rsidR="004E7684" w:rsidRDefault="004E7684" w:rsidP="004E7684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Spolupráce s dalšími dostupnými zdroji </w:t>
      </w:r>
    </w:p>
    <w:p w:rsidR="004E7684" w:rsidRDefault="004E7684" w:rsidP="004E7684">
      <w:pPr>
        <w:widowControl w:val="0"/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:rsidR="004E7684" w:rsidRDefault="004E7684" w:rsidP="004E7684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u w:val="single"/>
          <w:lang w:eastAsia="ar-SA"/>
        </w:rPr>
      </w:pPr>
      <w:r>
        <w:rPr>
          <w:rFonts w:asciiTheme="minorHAnsi" w:eastAsia="Lucida Sans Unicode" w:hAnsiTheme="minorHAnsi" w:cstheme="minorHAnsi"/>
          <w:b/>
          <w:kern w:val="2"/>
          <w:u w:val="single"/>
          <w:lang w:eastAsia="ar-SA"/>
        </w:rPr>
        <w:lastRenderedPageBreak/>
        <w:t>Pro</w:t>
      </w:r>
      <w:bookmarkStart w:id="0" w:name="_GoBack"/>
      <w:bookmarkEnd w:id="0"/>
      <w:r>
        <w:rPr>
          <w:rFonts w:asciiTheme="minorHAnsi" w:eastAsia="Lucida Sans Unicode" w:hAnsiTheme="minorHAnsi" w:cstheme="minorHAnsi"/>
          <w:b/>
          <w:kern w:val="2"/>
          <w:u w:val="single"/>
          <w:lang w:eastAsia="ar-SA"/>
        </w:rPr>
        <w:t xml:space="preserve"> naše klienty zabezpečujeme celoročně tyto služby:</w:t>
      </w: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Poskytnutí ubytování a stravy</w:t>
      </w: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Pomoc při zvládání běžných úkonů péče o vlastní osobu</w:t>
      </w: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Pomoc při osobní hygieně nebo poskytnutí podmínek pro osobní hygienu</w:t>
      </w: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Zprostředkování kontaktu se společenským prostředím (zajištění veřejně dostupných zdrojů, podpora využívání vlastní vztahové sítě)</w:t>
      </w: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Sociálně terapeutické a aktivizační činnosti</w:t>
      </w: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Pomoc při uplatňování práv, oprávněných zájmů a při obstarávání osobních záležitostí</w:t>
      </w: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Ošetřovatelská rehabilitační péče</w:t>
      </w:r>
    </w:p>
    <w:p w:rsidR="004E7684" w:rsidRDefault="004E7684" w:rsidP="004E7684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Zprostředkování dalších doplňkových služeb – kadeřnice, pedikérka</w:t>
      </w:r>
    </w:p>
    <w:p w:rsidR="00244C54" w:rsidRDefault="00244C54"/>
    <w:sectPr w:rsidR="0024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235"/>
    <w:multiLevelType w:val="hybridMultilevel"/>
    <w:tmpl w:val="E2BCE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B2C"/>
    <w:multiLevelType w:val="hybridMultilevel"/>
    <w:tmpl w:val="B52E2BD4"/>
    <w:lvl w:ilvl="0" w:tplc="F17CC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61A"/>
    <w:multiLevelType w:val="hybridMultilevel"/>
    <w:tmpl w:val="C268B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84"/>
    <w:rsid w:val="00244C54"/>
    <w:rsid w:val="003C4DE8"/>
    <w:rsid w:val="004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935F"/>
  <w15:chartTrackingRefBased/>
  <w15:docId w15:val="{82221D0B-549D-4C85-8D2B-304D8E01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2019-06-20T12:14:00Z</dcterms:created>
  <dcterms:modified xsi:type="dcterms:W3CDTF">2019-06-20T12:15:00Z</dcterms:modified>
</cp:coreProperties>
</file>